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P68B1DB1-Title1"/>
      </w:pPr>
      <w:r>
        <w:t xml:space="preserve">CF200 CF202</w:t>
      </w:r>
    </w:p>
    <w:p>
      <w:pPr>
        <w:spacing w:line="249" w:lineRule="auto" w:before="41"/>
        <w:ind w:left="140" w:right="6687" w:firstLine="0"/>
        <w:jc w:val="left"/>
        <w:rPr>
          <w:sz w:val="31"/>
        </w:rPr>
        <w:pStyle w:val="P68B1DB1-Normal2"/>
      </w:pPr>
      <w:r>
        <w:t xml:space="preserve">HiTemp 140数据记录仪系列的</w:t>
      </w:r>
      <w:r>
        <w:rPr>
          <w:w w:val="105"/>
        </w:rPr>
        <w:t>封装配件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2240" w:h="15840"/>
          <w:pgMar w:top="0" w:bottom="280" w:left="580" w:right="500"/>
        </w:sectPr>
      </w:pPr>
    </w:p>
    <w:p>
      <w:pPr>
        <w:pStyle w:val="P68B1DB1-BodyText3"/>
        <w:spacing w:line="249" w:lineRule="auto" w:before="113"/>
        <w:ind w:left="140" w:right="219"/>
      </w:pPr>
      <w:r>
        <w:t xml:space="preserve">CF200和CF202罐装配件可将MadgeTech HiTemp 140数据记录仪安全地连接到罐子、盖子、罐头和其他容器</w:t>
      </w:r>
    </w:p>
    <w:p>
      <w:pPr>
        <w:pStyle w:val="P68B1DB1-BodyText4"/>
        <w:spacing w:line="249" w:lineRule="auto" w:before="2"/>
        <w:ind w:left="140" w:right="511"/>
      </w:pPr>
      <w:r>
        <w:t>用于热渗透测试和温度分布研究的内部温度监测</w:t>
      </w:r>
    </w:p>
    <w:p>
      <w:pPr>
        <w:pStyle w:val="BodyText"/>
        <w:rPr>
          <w:sz w:val="21"/>
        </w:rPr>
      </w:pPr>
    </w:p>
    <w:p>
      <w:pPr>
        <w:pStyle w:val="P68B1DB1-BodyText3"/>
        <w:ind w:left="140"/>
      </w:pPr>
      <w:r>
        <w:t xml:space="preserve">CF200和CF202可承受高达140 °C（284</w:t>
      </w:r>
    </w:p>
    <w:p>
      <w:pPr>
        <w:pStyle w:val="P68B1DB1-BodyText3"/>
        <w:spacing w:line="249" w:lineRule="auto" w:before="10"/>
        <w:ind w:left="140" w:right="219"/>
      </w:pPr>
      <w:r>
        <w:t>°F），非常适合在各种行业和环境</w:t>
      </w: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150" w:type="dxa"/>
        <w:tblBorders>
          <w:top w:val="single" w:sz="2" w:space="0" w:color="002A5C"/>
          <w:left w:val="single" w:sz="2" w:space="0" w:color="002A5C"/>
          <w:bottom w:val="single" w:sz="2" w:space="0" w:color="002A5C"/>
          <w:right w:val="single" w:sz="2" w:space="0" w:color="002A5C"/>
          <w:insideH w:val="single" w:sz="2" w:space="0" w:color="002A5C"/>
          <w:insideV w:val="single" w:sz="2" w:space="0" w:color="002A5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2189"/>
        <w:gridCol w:w="2302"/>
      </w:tblGrid>
      <w:tr>
        <w:trPr>
          <w:trHeight w:val="342" w:hRule="atLeast"/>
        </w:trPr>
        <w:tc>
          <w:tcPr>
            <w:tcW w:w="6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A5C"/>
          </w:tcPr>
          <w:p>
            <w:pPr>
              <w:pStyle w:val="P68B1DB1-TableParagraph5"/>
              <w:spacing w:before="30"/>
              <w:ind w:left="92"/>
              <w:rPr>
                <w:b/>
                <w:sz w:val="24"/>
              </w:rPr>
            </w:pPr>
            <w:r>
              <w:t>规格</w:t>
            </w:r>
          </w:p>
        </w:tc>
      </w:tr>
      <w:tr>
        <w:trPr>
          <w:trHeight w:val="1037" w:hRule="atLeast"/>
        </w:trPr>
        <w:tc>
          <w:tcPr>
            <w:tcW w:w="1855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P68B1DB1-TableParagraph6"/>
              <w:spacing w:line="249" w:lineRule="auto" w:before="133"/>
              <w:ind w:right="256"/>
              <w:rPr>
                <w:b/>
                <w:sz w:val="15"/>
              </w:rPr>
            </w:pPr>
            <w:r>
              <w:t>MadgeTech数据记录仪兼容性</w:t>
            </w:r>
          </w:p>
        </w:tc>
        <w:tc>
          <w:tcPr>
            <w:tcW w:w="2189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6"/>
              <w:ind w:left="414" w:right="409"/>
              <w:jc w:val="center"/>
              <w:rPr>
                <w:b/>
                <w:sz w:val="15"/>
              </w:rPr>
            </w:pPr>
            <w:r>
              <w:t>CF200：</w:t>
            </w:r>
          </w:p>
          <w:p>
            <w:pPr>
              <w:pStyle w:val="P68B1DB1-TableParagraph7"/>
              <w:spacing w:line="249" w:lineRule="auto" w:before="7"/>
              <w:ind w:left="416" w:right="409"/>
              <w:jc w:val="center"/>
              <w:rPr>
                <w:sz w:val="15"/>
              </w:rPr>
            </w:pPr>
            <w:r>
              <w:t xml:space="preserve">HiTemp140-FP HiTemp140-PT-5 HiTemp140-2-TD</w:t>
            </w:r>
            <w:r>
              <w:rPr>
                <w:spacing w:val="-1"/>
              </w:rPr>
              <w:t>HiTemp140-5.25-TD</w:t>
            </w:r>
          </w:p>
        </w:tc>
        <w:tc>
          <w:tcPr>
            <w:tcW w:w="2302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6"/>
              <w:ind w:left="617" w:right="613"/>
              <w:jc w:val="center"/>
              <w:rPr>
                <w:b/>
                <w:sz w:val="15"/>
              </w:rPr>
            </w:pPr>
            <w:r>
              <w:t xml:space="preserve">CF 202：</w:t>
            </w:r>
          </w:p>
          <w:p>
            <w:pPr>
              <w:pStyle w:val="P68B1DB1-TableParagraph7"/>
              <w:spacing w:before="7"/>
              <w:ind w:left="617" w:right="613"/>
              <w:jc w:val="center"/>
              <w:rPr>
                <w:sz w:val="15"/>
              </w:rPr>
            </w:pPr>
            <w:r>
              <w:t>HiTemp140-CF</w:t>
            </w:r>
          </w:p>
        </w:tc>
      </w:tr>
      <w:tr>
        <w:trPr>
          <w:trHeight w:val="497" w:hRule="atLeast"/>
        </w:trPr>
        <w:tc>
          <w:tcPr>
            <w:tcW w:w="185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TableParagraph"/>
              <w:spacing w:before="10"/>
              <w:ind w:left="0"/>
              <w:rPr>
                <w:sz w:val="15"/>
              </w:rPr>
            </w:pPr>
          </w:p>
          <w:p>
            <w:pPr>
              <w:pStyle w:val="P68B1DB1-TableParagraph6"/>
              <w:spacing w:before="0"/>
              <w:rPr>
                <w:b/>
                <w:sz w:val="15"/>
              </w:rPr>
            </w:pPr>
            <w:r>
              <w:t>操作环境</w:t>
            </w:r>
          </w:p>
        </w:tc>
        <w:tc>
          <w:tcPr>
            <w:tcW w:w="4491" w:type="dxa"/>
            <w:gridSpan w:val="2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7"/>
              <w:rPr>
                <w:sz w:val="15"/>
              </w:rPr>
            </w:pPr>
            <w:r>
              <w:t xml:space="preserve">-40 °C至+140 °C（-40 °F至+284 °F）0% RH至</w:t>
            </w:r>
          </w:p>
          <w:p>
            <w:pPr>
              <w:pStyle w:val="P68B1DB1-TableParagraph7"/>
              <w:spacing w:before="7"/>
              <w:rPr>
                <w:sz w:val="15"/>
              </w:rPr>
            </w:pPr>
            <w:r>
              <w:t xml:space="preserve">100%RH，0.002 PSIA至100 PSIA</w:t>
            </w:r>
          </w:p>
        </w:tc>
      </w:tr>
      <w:tr>
        <w:trPr>
          <w:trHeight w:val="317" w:hRule="atLeast"/>
        </w:trPr>
        <w:tc>
          <w:tcPr>
            <w:tcW w:w="185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6"/>
              <w:rPr>
                <w:b/>
                <w:sz w:val="15"/>
              </w:rPr>
            </w:pPr>
            <w:r>
              <w:t>尺寸</w:t>
            </w:r>
          </w:p>
        </w:tc>
        <w:tc>
          <w:tcPr>
            <w:tcW w:w="4491" w:type="dxa"/>
            <w:gridSpan w:val="2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rPr>
                <w:sz w:val="15"/>
              </w:rPr>
            </w:pPr>
            <w:r>
              <w:t xml:space="preserve">0.87英寸x 0.87英寸x 0.85英寸（22.1 mm x 22.1 mm x 21.6 mm）</w:t>
            </w:r>
          </w:p>
        </w:tc>
      </w:tr>
      <w:tr>
        <w:trPr>
          <w:trHeight w:val="507" w:hRule="atLeast"/>
        </w:trPr>
        <w:tc>
          <w:tcPr>
            <w:tcW w:w="185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6"/>
              <w:spacing w:line="249" w:lineRule="auto" w:before="98"/>
              <w:ind w:right="378"/>
              <w:rPr>
                <w:b/>
                <w:sz w:val="15"/>
              </w:rPr>
            </w:pPr>
            <w:r>
              <w:t>所需容器孔尺寸</w:t>
            </w:r>
          </w:p>
        </w:tc>
        <w:tc>
          <w:tcPr>
            <w:tcW w:w="4491" w:type="dxa"/>
            <w:gridSpan w:val="2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8"/>
              <w:spacing w:before="94"/>
              <w:rPr>
                <w:sz w:val="16"/>
              </w:rPr>
            </w:pPr>
            <w:r>
              <w:t>直径9/16</w:t>
            </w:r>
          </w:p>
        </w:tc>
      </w:tr>
      <w:tr>
        <w:trPr>
          <w:trHeight w:val="327" w:hRule="atLeast"/>
        </w:trPr>
        <w:tc>
          <w:tcPr>
            <w:tcW w:w="185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9"/>
              <w:spacing w:before="98"/>
              <w:rPr>
                <w:b/>
                <w:sz w:val="15"/>
              </w:rPr>
            </w:pPr>
            <w:r>
              <w:t>重量</w:t>
            </w:r>
          </w:p>
        </w:tc>
        <w:tc>
          <w:tcPr>
            <w:tcW w:w="4491" w:type="dxa"/>
            <w:gridSpan w:val="2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0"/>
              <w:spacing w:before="94"/>
              <w:rPr>
                <w:sz w:val="16"/>
              </w:rPr>
            </w:pPr>
            <w:r>
              <w:t>28克（0.99盎司）</w:t>
            </w:r>
          </w:p>
        </w:tc>
      </w:tr>
      <w:tr>
        <w:trPr>
          <w:trHeight w:val="327" w:hRule="atLeast"/>
        </w:trPr>
        <w:tc>
          <w:tcPr>
            <w:tcW w:w="185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6"/>
              <w:spacing w:before="98"/>
              <w:rPr>
                <w:b/>
                <w:sz w:val="15"/>
              </w:rPr>
            </w:pPr>
            <w:r>
              <w:t>材料</w:t>
            </w:r>
          </w:p>
        </w:tc>
        <w:tc>
          <w:tcPr>
            <w:tcW w:w="4491" w:type="dxa"/>
            <w:gridSpan w:val="2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0"/>
              <w:spacing w:before="94"/>
              <w:rPr>
                <w:sz w:val="16"/>
              </w:rPr>
            </w:pPr>
            <w:r>
              <w:t>食品级316不锈钢，硅橡胶</w:t>
            </w:r>
          </w:p>
        </w:tc>
      </w:tr>
    </w:tbl>
    <w:p>
      <w:pPr>
        <w:spacing w:before="81"/>
        <w:ind w:left="140" w:right="1228" w:firstLine="0"/>
        <w:jc w:val="left"/>
        <w:rPr>
          <w:sz w:val="12"/>
        </w:rPr>
      </w:pPr>
      <w: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1911451</wp:posOffset>
            </wp:positionH>
            <wp:positionV relativeFrom="paragraph">
              <wp:posOffset>-211864</wp:posOffset>
            </wp:positionV>
            <wp:extent cx="3858412" cy="223528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412" cy="2235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31F20"/>
          <w:sz w:val="12"/>
        </w:rPr>
        <w:t xml:space="preserve">* 规格如有变更，恕不另行通知。</w:t>
      </w:r>
      <w:r>
        <w:rPr>
          <w:rFonts w:ascii="Trebuchet MS"/>
          <w:color w:val="231F20"/>
          <w:sz w:val="12"/>
        </w:rPr>
        <w:t>适用特定的保修补救限制</w:t>
      </w:r>
      <w:r>
        <w:rPr>
          <w:color w:val="231F20"/>
          <w:sz w:val="12"/>
        </w:rPr>
        <w:t>致电（603）456-2011或访问madgetech.com了解</w:t>
      </w:r>
      <w:r>
        <w:rPr>
          <w:color w:val="231F20"/>
          <w:sz w:val="12"/>
        </w:rPr>
        <w:t>详情。</w:t>
      </w:r>
    </w:p>
    <w:p>
      <w:pPr>
        <w:pStyle w:val="Heading1"/>
        <w:spacing w:before="320"/>
      </w:pPr>
      <w:r>
        <w:rPr>
          <w:b w:val="0"/>
        </w:rPr>
        <w:br w:type="column"/>
      </w:r>
      <w:r>
        <w:rPr>
          <w:color w:val="FFFFFF"/>
        </w:rPr>
        <w:t>好处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9" w:lineRule="auto" w:before="93" w:after="0"/>
        <w:ind w:left="499" w:right="1288" w:hanging="200"/>
        <w:jc w:val="left"/>
        <w:rPr>
          <w:sz w:val="20"/>
        </w:rPr>
      </w:pPr>
      <w:r>
        <w:t>耐用的不锈钢硅胶组件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1" w:after="0"/>
        <w:ind w:left="500" w:right="0" w:hanging="201"/>
        <w:jc w:val="left"/>
        <w:rPr>
          <w:sz w:val="20"/>
        </w:rPr>
      </w:pPr>
      <w:r>
        <w:t>紧凑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11" w:after="0"/>
        <w:ind w:left="500" w:right="0" w:hanging="201"/>
        <w:jc w:val="left"/>
        <w:rPr>
          <w:sz w:val="20"/>
        </w:rPr>
      </w:pPr>
      <w:r>
        <w:t>安全防水密封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10" w:after="0"/>
        <w:ind w:left="500" w:right="0" w:hanging="201"/>
        <w:jc w:val="left"/>
        <w:rPr>
          <w:sz w:val="20"/>
        </w:rPr>
      </w:pPr>
      <w:r>
        <w:t>容易调节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9" w:lineRule="auto" w:before="10" w:after="0"/>
        <w:ind w:left="499" w:right="985" w:hanging="200"/>
        <w:jc w:val="left"/>
        <w:rPr>
          <w:sz w:val="20"/>
        </w:rPr>
      </w:pPr>
      <w:r>
        <w:t>适用于各种包装类型</w:t>
      </w:r>
    </w:p>
    <w:p>
      <w:pPr>
        <w:pStyle w:val="BodyText"/>
        <w:spacing w:before="5"/>
        <w:rPr>
          <w:sz w:val="32"/>
        </w:rPr>
      </w:pPr>
    </w:p>
    <w:p>
      <w:pPr>
        <w:pStyle w:val="P68B1DB1-Heading112"/>
      </w:pPr>
      <w:r>
        <w:t>应用</w:t>
      </w:r>
    </w:p>
    <w:p>
      <w:pPr>
        <w:pStyle w:val="P68B1DB1-BodyText13"/>
        <w:spacing w:line="249" w:lineRule="auto" w:before="93"/>
        <w:ind w:left="140" w:right="686"/>
      </w:pPr>
      <w:r>
        <w:t>监控食品加工和包装的内部温度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82" w:after="0"/>
        <w:ind w:left="500" w:right="0" w:hanging="201"/>
        <w:jc w:val="left"/>
        <w:rPr>
          <w:sz w:val="20"/>
        </w:rPr>
      </w:pPr>
      <w:r>
        <w:t>罐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10" w:after="0"/>
        <w:ind w:left="500" w:right="0" w:hanging="201"/>
        <w:jc w:val="left"/>
        <w:rPr>
          <w:sz w:val="20"/>
        </w:rPr>
      </w:pPr>
      <w:r>
        <w:t>罐子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10" w:after="0"/>
        <w:ind w:left="500" w:right="0" w:hanging="201"/>
        <w:jc w:val="left"/>
        <w:rPr>
          <w:sz w:val="20"/>
        </w:rPr>
      </w:pPr>
      <w:r>
        <w:t>软包装袋</w:t>
      </w:r>
    </w:p>
    <w:p>
      <w:pPr>
        <w:pStyle w:val="P68B1DB1-ListParagraph11"/>
        <w:numPr>
          <w:ilvl w:val="0"/>
          <w:numId w:val="1"/>
        </w:numPr>
        <w:tabs>
          <w:tab w:pos="500" w:val="left" w:leader="none"/>
        </w:tabs>
        <w:spacing w:line="240" w:lineRule="auto" w:before="10" w:after="0"/>
        <w:ind w:left="500" w:right="0" w:hanging="201"/>
        <w:jc w:val="left"/>
        <w:rPr>
          <w:sz w:val="20"/>
        </w:rPr>
      </w:pPr>
      <w:r>
        <w:t>硬质塑料容器</w:t>
      </w:r>
    </w:p>
    <w:p>
      <w:pPr>
        <w:pStyle w:val="P68B1DB1-ListParagraph14"/>
        <w:numPr>
          <w:ilvl w:val="0"/>
          <w:numId w:val="1"/>
        </w:numPr>
        <w:tabs>
          <w:tab w:pos="500" w:val="left" w:leader="none"/>
        </w:tabs>
        <w:spacing w:line="240" w:lineRule="auto" w:before="10" w:after="0"/>
        <w:ind w:left="500" w:right="0" w:hanging="201"/>
        <w:jc w:val="left"/>
        <w:rPr>
          <w:sz w:val="20"/>
        </w:rPr>
      </w:pPr>
      <w:r>
        <w:t>蒸煮包装</w:t>
      </w:r>
    </w:p>
    <w:p>
      <w:pPr>
        <w:pStyle w:val="BodyText"/>
        <w:rPr>
          <w:sz w:val="26"/>
        </w:rPr>
      </w:pPr>
    </w:p>
    <w:p>
      <w:pPr>
        <w:spacing w:before="204"/>
        <w:ind w:left="426" w:right="0" w:firstLine="0"/>
        <w:jc w:val="left"/>
        <w:rPr>
          <w:rFonts w:ascii="Verdana"/>
          <w:i/>
          <w:sz w:val="20"/>
        </w:rPr>
        <w:pStyle w:val="P68B1DB1-Normal15"/>
      </w:pPr>
      <w:r>
        <w:t>数据记录器单独出售</w:t>
      </w:r>
    </w:p>
    <w:p>
      <w:pPr>
        <w:spacing w:after="0"/>
        <w:jc w:val="left"/>
        <w:rPr>
          <w:rFonts w:ascii="Verdana"/>
          <w:sz w:val="20"/>
        </w:rPr>
        <w:sectPr>
          <w:type w:val="continuous"/>
          <w:pgSz w:w="12240" w:h="15840"/>
          <w:pgMar w:top="0" w:bottom="280" w:left="580" w:right="500"/>
          <w:cols w:num="2" w:equalWidth="0">
            <w:col w:w="6528" w:space="604"/>
            <w:col w:w="4028"/>
          </w:cols>
        </w:sectPr>
      </w:pPr>
    </w:p>
    <w:p>
      <w:pPr>
        <w:pStyle w:val="BodyText"/>
        <w:spacing w:before="6"/>
        <w:rPr>
          <w:rFonts w:ascii="Verdana"/>
          <w:i/>
          <w:sz w:val="29"/>
        </w:rPr>
      </w:pPr>
    </w:p>
    <w:p>
      <w:pPr>
        <w:spacing w:before="104"/>
        <w:ind w:left="0" w:right="1606" w:firstLine="0"/>
        <w:jc w:val="center"/>
        <w:rPr>
          <w:rFonts w:ascii="Lucida Sans Unicode"/>
          <w:sz w:val="16"/>
        </w:rPr>
        <w:pStyle w:val="P68B1DB1-Normal16"/>
      </w:pPr>
      <w:r>
        <w:t>玻璃器皿</w:t>
      </w:r>
    </w:p>
    <w:p>
      <w:pPr>
        <w:pStyle w:val="BodyText"/>
        <w:spacing w:before="2"/>
        <w:rPr>
          <w:rFonts w:ascii="Lucida Sans Unicode"/>
          <w:sz w:val="7"/>
        </w:rPr>
      </w:pPr>
    </w:p>
    <w:p>
      <w:pPr>
        <w:spacing w:after="0"/>
        <w:rPr>
          <w:rFonts w:ascii="Lucida Sans Unicode"/>
          <w:sz w:val="7"/>
        </w:rPr>
        <w:sectPr>
          <w:type w:val="continuous"/>
          <w:pgSz w:w="12240" w:h="15840"/>
          <w:pgMar w:top="0" w:bottom="280" w:left="580" w:right="500"/>
        </w:sectPr>
      </w:pPr>
    </w:p>
    <w:p>
      <w:pPr>
        <w:spacing w:line="156" w:lineRule="auto" w:before="166"/>
        <w:ind w:left="2053" w:right="0" w:firstLine="116"/>
        <w:jc w:val="left"/>
        <w:rPr>
          <w:rFonts w:ascii="Lucida Sans Unicode"/>
          <w:sz w:val="16"/>
        </w:rPr>
        <w:pStyle w:val="P68B1DB1-Normal16"/>
      </w:pPr>
      <w:r>
        <w:t>蒸煮</w:t>
      </w:r>
      <w:r>
        <w:rPr>
          <w:spacing w:val="-1"/>
          <w:w w:val="95"/>
        </w:rPr>
        <w:t>包装</w:t>
      </w:r>
    </w:p>
    <w:p>
      <w:pPr>
        <w:spacing w:line="156" w:lineRule="auto" w:before="166"/>
        <w:ind w:left="2053" w:right="2529" w:hanging="1"/>
        <w:jc w:val="center"/>
        <w:rPr>
          <w:rFonts w:ascii="Lucida Sans Unicode"/>
          <w:sz w:val="16"/>
        </w:rPr>
      </w:pPr>
      <w:r>
        <w:br w:type="column"/>
      </w:r>
      <w:r>
        <w:rPr>
          <w:rFonts w:ascii="Lucida Sans Unicode"/>
          <w:color w:val="002A5C"/>
          <w:sz w:val="16"/>
        </w:rPr>
        <w:t>佳</w:t>
      </w:r>
      <w:r>
        <w:rPr>
          <w:rFonts w:ascii="Lucida Sans Unicode"/>
          <w:color w:val="002A5C"/>
          <w:spacing w:val="-1"/>
          <w:w w:val="95"/>
          <w:sz w:val="16"/>
        </w:rPr>
        <w:t>包装</w:t>
      </w:r>
    </w:p>
    <w:p>
      <w:pPr>
        <w:spacing w:after="0" w:line="156" w:lineRule="auto"/>
        <w:jc w:val="center"/>
        <w:rPr>
          <w:rFonts w:ascii="Lucida Sans Unicode"/>
          <w:sz w:val="16"/>
        </w:rPr>
        <w:sectPr>
          <w:type w:val="continuous"/>
          <w:pgSz w:w="12240" w:h="15840"/>
          <w:pgMar w:top="0" w:bottom="280" w:left="580" w:right="500"/>
          <w:cols w:num="2" w:equalWidth="0">
            <w:col w:w="2789" w:space="3091"/>
            <w:col w:w="5280"/>
          </w:cols>
        </w:sectPr>
      </w:pPr>
    </w:p>
    <w:p>
      <w:pPr>
        <w:pStyle w:val="BodyText"/>
        <w:rPr>
          <w:rFonts w:ascii="Lucida Sans Unicode"/>
        </w:rPr>
      </w:pPr>
      <w:r>
        <w:pict>
          <v:group style="position:absolute;margin-left:0pt;margin-top:0pt;width:612pt;height:515.5500pt;mso-position-horizontal-relative:page;mso-position-vertical-relative:page;z-index:-15825920" coordorigin="0,0" coordsize="12240,10311">
            <v:shape style="position:absolute;left:0;top:0;width:12240;height:1961" type="#_x0000_t75" stroked="false">
              <v:imagedata r:id="rId6" o:title=""/>
            </v:shape>
            <v:rect style="position:absolute;left:7488;top:0;width:4032;height:10311" filled="true" fillcolor="#002a5c" stroked="false">
              <v:fill opacity="58326f" type="solid"/>
            </v:rect>
            <v:shape style="position:absolute;left:7977;top:792;width:1906;height:1682" type="#_x0000_t75" stroked="false">
              <v:imagedata r:id="rId7" o:title=""/>
            </v:shape>
            <v:shape style="position:absolute;left:9086;top:2030;width:2141;height:1721" type="#_x0000_t75" stroked="false">
              <v:imagedata r:id="rId8" o:title=""/>
            </v:shape>
            <v:line style="position:absolute" from="720,4050" to="1260,4050" stroked="true" strokeweight="2pt" strokecolor="#002a5c">
              <v:stroke dashstyle="solid"/>
            </v:line>
            <v:line style="position:absolute" from="7853,9449" to="11204,9449" stroked="true" strokeweight=".25pt" strokecolor="#ffffff">
              <v:stroke dashstyle="solid"/>
            </v:line>
            <v:line style="position:absolute" from="7819,4318" to="11170,4318" stroked="true" strokeweight=".25pt" strokecolor="#ffffff">
              <v:stroke dashstyle="solid"/>
            </v:line>
            <w10:wrap type="none"/>
          </v:group>
        </w:pict>
      </w:r>
    </w:p>
    <w:p>
      <w:pPr>
        <w:pStyle w:val="BodyText"/>
        <w:rPr>
          <w:rFonts w:ascii="Lucida Sans Unicode"/>
        </w:rPr>
      </w:pPr>
    </w:p>
    <w:p>
      <w:pPr>
        <w:pStyle w:val="BodyText"/>
        <w:rPr>
          <w:rFonts w:ascii="Lucida Sans Unicode"/>
        </w:rPr>
      </w:pPr>
    </w:p>
    <w:p>
      <w:pPr>
        <w:pStyle w:val="BodyText"/>
        <w:spacing w:before="2"/>
        <w:rPr>
          <w:rFonts w:ascii="Lucida Sans Unicode"/>
          <w:sz w:val="28"/>
        </w:rPr>
      </w:pPr>
    </w:p>
    <w:p>
      <w:pPr>
        <w:tabs>
          <w:tab w:pos="2460" w:val="left" w:leader="none"/>
        </w:tabs>
        <w:spacing w:before="105"/>
        <w:ind w:left="0" w:right="725" w:firstLine="0"/>
        <w:jc w:val="center"/>
        <w:rPr>
          <w:rFonts w:ascii="Lucida Sans Unicode"/>
          <w:sz w:val="16"/>
        </w:rPr>
        <w:pStyle w:val="P68B1DB1-Normal16"/>
      </w:pPr>
      <w:r>
        <w:t>塑料杯罐</w:t>
      </w:r>
    </w:p>
    <w:p>
      <w:pPr>
        <w:pStyle w:val="BodyText"/>
        <w:spacing w:before="8"/>
        <w:rPr>
          <w:rFonts w:ascii="Lucida Sans Unicode"/>
          <w:sz w:val="7"/>
        </w:rPr>
      </w:pPr>
    </w:p>
    <w:tbl>
      <w:tblPr>
        <w:tblW w:w="0" w:type="auto"/>
        <w:jc w:val="left"/>
        <w:tblInd w:w="150" w:type="dxa"/>
        <w:tblBorders>
          <w:top w:val="single" w:sz="2" w:space="0" w:color="002A5C"/>
          <w:left w:val="single" w:sz="2" w:space="0" w:color="002A5C"/>
          <w:bottom w:val="single" w:sz="2" w:space="0" w:color="002A5C"/>
          <w:right w:val="single" w:sz="2" w:space="0" w:color="002A5C"/>
          <w:insideH w:val="single" w:sz="2" w:space="0" w:color="002A5C"/>
          <w:insideV w:val="single" w:sz="2" w:space="0" w:color="002A5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2189"/>
        <w:gridCol w:w="6751"/>
      </w:tblGrid>
      <w:tr>
        <w:trPr>
          <w:trHeight w:val="342" w:hRule="atLeast"/>
        </w:trPr>
        <w:tc>
          <w:tcPr>
            <w:tcW w:w="10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A5C"/>
          </w:tcPr>
          <w:p>
            <w:pPr>
              <w:pStyle w:val="P68B1DB1-TableParagraph17"/>
              <w:spacing w:before="30"/>
              <w:ind w:left="92"/>
              <w:rPr>
                <w:b/>
                <w:sz w:val="24"/>
              </w:rPr>
            </w:pPr>
            <w:r>
              <w:rPr>
                <w:spacing w:val="-1"/>
              </w:rPr>
              <w:t>订购</w:t>
            </w:r>
            <w:r>
              <w:t>信息</w:t>
            </w:r>
          </w:p>
        </w:tc>
      </w:tr>
      <w:tr>
        <w:trPr>
          <w:trHeight w:val="317" w:hRule="atLeast"/>
        </w:trPr>
        <w:tc>
          <w:tcPr>
            <w:tcW w:w="1855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6"/>
              <w:rPr>
                <w:b/>
                <w:sz w:val="15"/>
              </w:rPr>
            </w:pPr>
            <w:r>
              <w:t>CF200</w:t>
            </w:r>
          </w:p>
        </w:tc>
        <w:tc>
          <w:tcPr>
            <w:tcW w:w="2189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7"/>
              <w:ind w:left="736"/>
              <w:rPr>
                <w:sz w:val="15"/>
              </w:rPr>
            </w:pPr>
            <w:r>
              <w:t>901911-00</w:t>
            </w:r>
          </w:p>
        </w:tc>
        <w:tc>
          <w:tcPr>
            <w:tcW w:w="6751" w:type="dxa"/>
            <w:tcBorders>
              <w:left w:val="single" w:sz="2" w:space="0" w:color="A7A9AC"/>
              <w:bottom w:val="single" w:sz="2" w:space="0" w:color="A7A9AC"/>
              <w:right w:val="single" w:sz="2" w:space="0" w:color="A7A9AC"/>
            </w:tcBorders>
          </w:tcPr>
          <w:p>
            <w:pPr>
              <w:pStyle w:val="P68B1DB1-TableParagraph18"/>
              <w:ind w:left="706" w:right="702"/>
              <w:jc w:val="center"/>
              <w:rPr>
                <w:rFonts w:ascii="Trebuchet MS"/>
                <w:sz w:val="15"/>
              </w:rPr>
            </w:pPr>
            <w:r>
              <w:t xml:space="preserve">与HiTemp 140-FP、HiTemp 140-PT和HiTemp 140-TD</w:t>
            </w:r>
          </w:p>
        </w:tc>
      </w:tr>
      <w:tr>
        <w:trPr>
          <w:trHeight w:val="317" w:hRule="atLeast"/>
        </w:trPr>
        <w:tc>
          <w:tcPr>
            <w:tcW w:w="1855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6"/>
              <w:rPr>
                <w:b/>
                <w:sz w:val="15"/>
              </w:rPr>
            </w:pPr>
            <w:r>
              <w:t>CF-202</w:t>
            </w:r>
          </w:p>
        </w:tc>
        <w:tc>
          <w:tcPr>
            <w:tcW w:w="2189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7"/>
              <w:ind w:left="736"/>
              <w:rPr>
                <w:sz w:val="15"/>
              </w:rPr>
            </w:pPr>
            <w:r>
              <w:t>902430-00</w:t>
            </w:r>
          </w:p>
        </w:tc>
        <w:tc>
          <w:tcPr>
            <w:tcW w:w="675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E6E7E8"/>
          </w:tcPr>
          <w:p>
            <w:pPr>
              <w:pStyle w:val="P68B1DB1-TableParagraph18"/>
              <w:ind w:left="706" w:right="701"/>
              <w:jc w:val="center"/>
              <w:rPr>
                <w:rFonts w:ascii="Trebuchet MS"/>
                <w:sz w:val="15"/>
              </w:rPr>
            </w:pPr>
            <w:r>
              <w:t xml:space="preserve">与HiTemp 140-CF</w:t>
            </w:r>
          </w:p>
        </w:tc>
      </w:tr>
    </w:tbl>
    <w:p>
      <w:pPr>
        <w:pStyle w:val="BodyText"/>
        <w:spacing w:before="10"/>
        <w:rPr>
          <w:rFonts w:ascii="Lucida Sans Unicode"/>
          <w:sz w:val="29"/>
        </w:rPr>
      </w:pPr>
    </w:p>
    <w:p>
      <w:pPr>
        <w:spacing w:before="93"/>
        <w:ind w:left="116" w:right="0" w:firstLine="0"/>
        <w:jc w:val="left"/>
        <w:rPr>
          <w:sz w:val="24"/>
        </w:rPr>
        <w:pStyle w:val="P68B1DB1-Normal19"/>
      </w:pPr>
      <w:r>
        <w:t xml:space="preserve">■电话：+86 755-8420 0058 ■传真：+86 755-2822 5583 ■</w:t>
      </w:r>
      <w:hyperlink r:id="rId9">
        <w:r>
          <w:t>E-mail:sales@eofirm.com</w:t>
        </w:r>
      </w:hyperlink>
      <w:r>
        <w:t xml:space="preserve"> ■</w:t>
      </w:r>
      <w:hyperlink r:id="rId10">
        <w:r>
          <w:t>http://www.eofirm.com</w:t>
        </w:r>
      </w:hyperlink>
    </w:p>
    <w:sectPr>
      <w:type w:val="continuous"/>
      <w:pgSz w:w="12240" w:h="15840"/>
      <w:pgMar w:top="0" w:bottom="28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200"/>
      </w:pPr>
      <w:rPr>
        <w:rFonts w:hint="default" w:ascii="Arial" w:hAnsi="Arial" w:eastAsia="Arial" w:cs="Arial"/>
        <w:color w:val="FFFFFF"/>
        <w:w w:val="14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2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5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8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0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3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9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1" w:hanging="2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Arial" w:hAnsi="Arial" w:cs="Arial" w:eastAsia="Arial"/>
    </w:rPr>
  </w:style>
  <w:style w:styleId="BodyText" w:type="paragraph">
    <w:name w:val="Body Text"/>
    <w:basedOn w:val="Normal"/>
    <w:uiPriority w:val="1"/>
    <w:qFormat/>
    <w:rPr>
      <w:rFonts w:ascii="Arial" w:hAnsi="Arial" w:cs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cs="Arial" w:eastAsia="Arial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228"/>
      <w:ind w:left="139"/>
    </w:pPr>
    <w:rPr>
      <w:rFonts w:ascii="Arial" w:hAnsi="Arial" w:cs="Arial" w:eastAsia="Arial"/>
      <w:b/>
      <w:bCs/>
      <w:sz w:val="70"/>
      <w:szCs w:val="70"/>
    </w:rPr>
  </w:style>
  <w:style w:styleId="ListParagraph" w:type="paragraph">
    <w:name w:val="List Paragraph"/>
    <w:basedOn w:val="Normal"/>
    <w:uiPriority w:val="1"/>
    <w:qFormat/>
    <w:pPr>
      <w:spacing w:before="10"/>
      <w:ind w:left="500" w:hanging="201"/>
    </w:pPr>
    <w:rPr>
      <w:rFonts w:ascii="Arial" w:hAnsi="Arial" w:cs="Arial" w:eastAsia="Arial"/>
    </w:rPr>
  </w:style>
  <w:style w:styleId="TableParagraph" w:type="paragraph">
    <w:name w:val="Table Paragraph"/>
    <w:basedOn w:val="Normal"/>
    <w:uiPriority w:val="1"/>
    <w:qFormat/>
    <w:pPr>
      <w:spacing w:before="93"/>
      <w:ind w:left="80"/>
    </w:pPr>
    <w:rPr>
      <w:rFonts w:ascii="Arial" w:hAnsi="Arial" w:cs="Arial" w:eastAsia="Arial"/>
    </w:rPr>
  </w:style>
  <w:style w:type="paragraph" w:styleId="P68B1DB1-Title1">
    <w:name w:val="P68B1DB1-Title1"/>
    <w:basedOn w:val="Title"/>
    <w:rPr>
      <w:color w:val="002A5C"/>
    </w:rPr>
  </w:style>
  <w:style w:type="paragraph" w:styleId="P68B1DB1-Normal2">
    <w:name w:val="P68B1DB1-Normal2"/>
    <w:basedOn w:val="Normal"/>
    <w:rPr>
      <w:color w:val="002A5C"/>
      <w:sz w:val="31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color w:val="231F20"/>
      <w:w w:val="105"/>
    </w:rPr>
  </w:style>
  <w:style w:type="paragraph" w:styleId="P68B1DB1-TableParagraph5">
    <w:name w:val="P68B1DB1-TableParagraph5"/>
    <w:basedOn w:val="TableParagraph"/>
    <w:rPr>
      <w:b/>
      <w:color w:val="FFFFFF"/>
      <w:sz w:val="24"/>
    </w:rPr>
  </w:style>
  <w:style w:type="paragraph" w:styleId="P68B1DB1-TableParagraph6">
    <w:name w:val="P68B1DB1-TableParagraph6"/>
    <w:basedOn w:val="TableParagraph"/>
    <w:rPr>
      <w:b/>
      <w:color w:val="231F20"/>
      <w:sz w:val="15"/>
    </w:rPr>
  </w:style>
  <w:style w:type="paragraph" w:styleId="P68B1DB1-TableParagraph7">
    <w:name w:val="P68B1DB1-TableParagraph7"/>
    <w:basedOn w:val="TableParagraph"/>
    <w:rPr>
      <w:color w:val="231F20"/>
      <w:sz w:val="15"/>
    </w:rPr>
  </w:style>
  <w:style w:type="paragraph" w:styleId="P68B1DB1-TableParagraph8">
    <w:name w:val="P68B1DB1-TableParagraph8"/>
    <w:basedOn w:val="TableParagraph"/>
    <w:rPr>
      <w:color w:val="231F20"/>
      <w:w w:val="105"/>
      <w:sz w:val="16"/>
    </w:rPr>
  </w:style>
  <w:style w:type="paragraph" w:styleId="P68B1DB1-TableParagraph9">
    <w:name w:val="P68B1DB1-TableParagraph9"/>
    <w:basedOn w:val="TableParagraph"/>
    <w:rPr>
      <w:b/>
      <w:color w:val="231F20"/>
      <w:w w:val="105"/>
      <w:sz w:val="15"/>
    </w:rPr>
  </w:style>
  <w:style w:type="paragraph" w:styleId="P68B1DB1-TableParagraph10">
    <w:name w:val="P68B1DB1-TableParagraph10"/>
    <w:basedOn w:val="TableParagraph"/>
    <w:rPr>
      <w:color w:val="231F20"/>
      <w:sz w:val="16"/>
    </w:rPr>
  </w:style>
  <w:style w:type="paragraph" w:styleId="P68B1DB1-ListParagraph11">
    <w:name w:val="P68B1DB1-ListParagraph11"/>
    <w:basedOn w:val="ListParagraph"/>
    <w:rPr>
      <w:color w:val="FFFFFF"/>
      <w:sz w:val="20"/>
    </w:rPr>
  </w:style>
  <w:style w:type="paragraph" w:styleId="P68B1DB1-Heading112">
    <w:name w:val="P68B1DB1-Heading112"/>
    <w:basedOn w:val="Heading1"/>
    <w:rPr>
      <w:color w:val="FFFFFF"/>
    </w:rPr>
  </w:style>
  <w:style w:type="paragraph" w:styleId="P68B1DB1-BodyText13">
    <w:name w:val="P68B1DB1-BodyText13"/>
    <w:basedOn w:val="BodyText"/>
    <w:rPr>
      <w:color w:val="FFFFFF"/>
      <w:w w:val="105"/>
    </w:rPr>
  </w:style>
  <w:style w:type="paragraph" w:styleId="P68B1DB1-ListParagraph14">
    <w:name w:val="P68B1DB1-ListParagraph14"/>
    <w:basedOn w:val="ListParagraph"/>
    <w:rPr>
      <w:color w:val="FFFFFF"/>
      <w:w w:val="95"/>
      <w:sz w:val="20"/>
    </w:rPr>
  </w:style>
  <w:style w:type="paragraph" w:styleId="P68B1DB1-Normal15">
    <w:name w:val="P68B1DB1-Normal15"/>
    <w:basedOn w:val="Normal"/>
    <w:rPr>
      <w:rFonts w:ascii="Verdana"/>
      <w:i/>
      <w:color w:val="FFFFFF"/>
      <w:w w:val="95"/>
      <w:sz w:val="20"/>
    </w:rPr>
  </w:style>
  <w:style w:type="paragraph" w:styleId="P68B1DB1-Normal16">
    <w:name w:val="P68B1DB1-Normal16"/>
    <w:basedOn w:val="Normal"/>
    <w:rPr>
      <w:rFonts w:ascii="Lucida Sans Unicode"/>
      <w:color w:val="002A5C"/>
      <w:sz w:val="16"/>
    </w:rPr>
  </w:style>
  <w:style w:type="paragraph" w:styleId="P68B1DB1-TableParagraph17">
    <w:name w:val="P68B1DB1-TableParagraph17"/>
    <w:basedOn w:val="TableParagraph"/>
    <w:rPr>
      <w:b/>
      <w:color w:val="FFFFFF"/>
      <w:w w:val="95"/>
      <w:sz w:val="24"/>
    </w:rPr>
  </w:style>
  <w:style w:type="paragraph" w:styleId="P68B1DB1-TableParagraph18">
    <w:name w:val="P68B1DB1-TableParagraph18"/>
    <w:basedOn w:val="TableParagraph"/>
    <w:rPr>
      <w:rFonts w:ascii="Trebuchet MS"/>
      <w:color w:val="231F20"/>
      <w:sz w:val="15"/>
    </w:rPr>
  </w:style>
  <w:style w:type="paragraph" w:styleId="P68B1DB1-Normal19">
    <w:name w:val="P68B1DB1-Normal19"/>
    <w:basedOn w:val="Normal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ales@eofirm.com" TargetMode="External"/><Relationship Id="rId10" Type="http://schemas.openxmlformats.org/officeDocument/2006/relationships/hyperlink" Target="http://www.eofirm.com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2024-10-22T05:45:34Z</dcterms:created>
  <dcterms:modified xsi:type="dcterms:W3CDTF">2024-10-22T05:45:34Z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2024-10-22T00:00:00Z</vt:filetime>
  </property>
</Properties>
</file>